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1"/>
    <w:p>
      <w:pPr>
        <w:pStyle w:val="Heading1"/>
      </w:pPr>
      <w:r>
        <w:t xml:space="preserve">Homiletics Analysis: Genesis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11 divides into two movements. The first (vv. 1–9) narrates the Babel episode: a unified humanity speaking one language migrates to the plain of Shinar, resolves to build a city and tower</w:t>
      </w:r>
      <w:r>
        <w:t xml:space="preserve"> </w:t>
      </w:r>
      <w:r>
        <w:t xml:space="preserve">“with its top in the heavens,”</w:t>
      </w:r>
      <w:r>
        <w:t xml:space="preserve"> </w:t>
      </w:r>
      <w:r>
        <w:t xml:space="preserve">and to</w:t>
      </w:r>
      <w:r>
        <w:t xml:space="preserve"> </w:t>
      </w:r>
      <w:r>
        <w:t xml:space="preserve">“make a name”</w:t>
      </w:r>
      <w:r>
        <w:t xml:space="preserve"> </w:t>
      </w:r>
      <w:r>
        <w:t xml:space="preserve">for themselves rather than be scattered. The LORD descends, observes the project, diagnoses its danger — not in the tower itself but in the unchecked unity of human ambition apart from God — and confuses their language, scattering them across the earth. The second movement (vv. 10–32) presents the Shemite genealogy from Shem to Terah, culminating in the introduction of Abram, Sarai, and Lot, and the first movement of Terah’s family toward Canaan — a journey that stalls at Haran. Taken together, the chapter moves from the centripetal collapse of post-flood humanity back into organized God-defiance, to the centrifugal scattering that sets the stage for the sovereign election of one man through whom God will reclaim what Babel abandoned.</w:t>
      </w:r>
    </w:p>
    <w:p>
      <w:pPr>
        <w:pStyle w:val="BodyText"/>
      </w:pPr>
      <w:r>
        <w:rPr>
          <w:b/>
          <w:bCs/>
        </w:rPr>
        <w:t xml:space="preserve">This Text — Intent:</w:t>
      </w:r>
    </w:p>
    <w:p>
      <w:pPr>
        <w:pStyle w:val="BodyText"/>
      </w:pPr>
      <w:r>
        <w:t xml:space="preserve">God’s intent through this passage is twofold and sequential. First, He unmasks the deep structure of human pride — the instinct to consolidate power, construct legacy, and secure significance apart from God — and demonstrates that such projects cannot succeed against His sovereign purposes. Second, and more importantly, He positions the reader for Genesis 12: the scattering is not the end of the story. The genealogy of Shem threading toward Abram signals that God has not abandoned His creation project; He is redirecting it through a sovereign call that bypasses human initiative entirely. The effect God seeks is that the reader would see both the futility of self-made significance and the grace that steps in where human ambition collapses — the God who does not scatter and walk away but who gathers by choosing.</w:t>
      </w:r>
    </w:p>
    <w:p>
      <w:r>
        <w:pict>
          <v:rect style="width:0;height:1.5pt" o:hralign="center" o:hrstd="t" o:hr="t"/>
        </w:pict>
      </w:r>
    </w:p>
    <w:p>
      <w:pPr>
        <w:pStyle w:val="FirstParagraph"/>
      </w:pPr>
      <w:r>
        <w:rPr>
          <w:b/>
          <w:bCs/>
        </w:rPr>
        <w:t xml:space="preserve">Subject Sentence:</w:t>
      </w:r>
      <w:r>
        <w:t xml:space="preserve"> </w:t>
      </w:r>
      <w:r>
        <w:t xml:space="preserve">Human pride builds toward heaven; God scatters, then sovereignly chooses Abram.</w:t>
      </w:r>
    </w:p>
    <w:p>
      <w:r>
        <w:pict>
          <v:rect style="width:0;height:1.5pt" o:hralign="center" o:hrstd="t" o:hr="t"/>
        </w:pict>
      </w:r>
    </w:p>
    <w:p>
      <w:pPr>
        <w:pStyle w:val="FirstParagraph"/>
      </w:pPr>
      <w:r>
        <w:rPr>
          <w:b/>
          <w:bCs/>
        </w:rPr>
        <w:t xml:space="preserve">Primary Claim:</w:t>
      </w:r>
      <w:r>
        <w:t xml:space="preserve"> </w:t>
      </w:r>
      <w:r>
        <w:t xml:space="preserve">God dismantles humanity’s self-glorifying project not merely as judgment but as the decisive turn toward His own redemptive initiative — demonstrating that the name worth having is the one He gives, not the one we build.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tower’s height and human hubris</w:t>
      </w:r>
      <w:r>
        <w:t xml:space="preserve">: A common popular interpretation reads</w:t>
      </w:r>
      <w:r>
        <w:t xml:space="preserve"> </w:t>
      </w:r>
      <w:r>
        <w:t xml:space="preserve">“a tower with its top in the heavens”</w:t>
      </w:r>
      <w:r>
        <w:t xml:space="preserve"> </w:t>
      </w:r>
      <w:r>
        <w:t xml:space="preserve">as an audacious attempt to literally reach God’s dwelling — a technological assault on divine prerogatives. This reading is theologically vivid but exegetically overstated. The phrase is a known ancient Near Eastern idiom for an impressively tall structure (cf. Deut. 1:28; 9:1 — cities</w:t>
      </w:r>
      <w:r>
        <w:t xml:space="preserve"> </w:t>
      </w:r>
      <w:r>
        <w:t xml:space="preserve">“great and fortified up to heaven”</w:t>
      </w:r>
      <w:r>
        <w:t xml:space="preserve">). The sin is not the architectural ambition per se but the stated motivation:</w:t>
      </w:r>
      <w:r>
        <w:t xml:space="preserve"> </w:t>
      </w:r>
      <w:r>
        <w:t xml:space="preserve">“let us make a name for ourselves, lest we be dispersed over the face of the whole earth”</w:t>
      </w:r>
      <w:r>
        <w:t xml:space="preserve"> </w:t>
      </w:r>
      <w:r>
        <w:t xml:space="preserve">(v. 4). This is the inversion of the creation mandate (Gen. 1:28:</w:t>
      </w:r>
      <w:r>
        <w:t xml:space="preserve"> </w:t>
      </w:r>
      <w:r>
        <w:t xml:space="preserve">“fill the earth”</w:t>
      </w:r>
      <w:r>
        <w:t xml:space="preserve">) and the refusal to live under God’s name rather than their own. The Reformed reading correctly identifies pride and God-replacing self-sufficiency as the core transgression, not a naive cosmological assault on heaven. This must be</w:t>
      </w:r>
      <w:r>
        <w:t xml:space="preserve"> </w:t>
      </w:r>
      <w:r>
        <w:rPr>
          <w:i/>
          <w:iCs/>
        </w:rPr>
        <w:t xml:space="preserve">qualified</w:t>
      </w:r>
      <w:r>
        <w:t xml:space="preserve">, not refuted — the reading captures real pride, but the text targets misdirected vocation and the refusal of scattering (i.e., God’s design), not architectural arrogance alone.</w:t>
      </w:r>
    </w:p>
    <w:p>
      <w:pPr>
        <w:pStyle w:val="BodyText"/>
      </w:pPr>
      <w:r>
        <w:rPr>
          <w:b/>
          <w:bCs/>
        </w:rPr>
        <w:t xml:space="preserve">The divine</w:t>
      </w:r>
      <w:r>
        <w:rPr>
          <w:b/>
          <w:bCs/>
        </w:rPr>
        <w:t xml:space="preserve"> </w:t>
      </w:r>
      <w:r>
        <w:rPr>
          <w:b/>
          <w:bCs/>
        </w:rPr>
        <w:t xml:space="preserve">“let us go down”</w:t>
      </w:r>
      <w:r>
        <w:rPr>
          <w:b/>
          <w:bCs/>
        </w:rPr>
        <w:t xml:space="preserve"> </w:t>
      </w:r>
      <w:r>
        <w:rPr>
          <w:b/>
          <w:bCs/>
        </w:rPr>
        <w:t xml:space="preserve">(v. 6–7)</w:t>
      </w:r>
      <w:r>
        <w:t xml:space="preserve">: Some traditions (notably certain patristic and early evangelical readings) treat the divine plural here as a transparent Trinitarian reference — the Trinity deliberating at Babel as at creation (Gen. 1:26). The Reformed position maintains appropriate reserve: the plural likely reflects the divine council idiom (cf. Gen. 1:26; Isa. 6:8), consistent with the broader pattern of divine speech in the Ancient Near East. A Trinitarian reading is not impossible within a canonical theology, but should not be imposed on the text’s own horizon. The text’s</w:t>
      </w:r>
      <w:r>
        <w:t xml:space="preserve"> </w:t>
      </w:r>
      <w:r>
        <w:rPr>
          <w:i/>
          <w:iCs/>
        </w:rPr>
        <w:t xml:space="preserve">effect</w:t>
      </w:r>
      <w:r>
        <w:t xml:space="preserve"> </w:t>
      </w:r>
      <w:r>
        <w:t xml:space="preserve">— God descending in sovereign assessment and intervention — is the controlling emphasis, regardless of how the plural is resolved. This is a case for</w:t>
      </w:r>
      <w:r>
        <w:t xml:space="preserve"> </w:t>
      </w:r>
      <w:r>
        <w:rPr>
          <w:i/>
          <w:iCs/>
        </w:rPr>
        <w:t xml:space="preserve">qualifying</w:t>
      </w:r>
      <w:r>
        <w:t xml:space="preserve"> </w:t>
      </w:r>
      <w:r>
        <w:t xml:space="preserve">rather than adopting or refuting: the plurality is real but its theological specificity requires canonical grounding from New Testament revelation rather than extraction from the Old Testament passage alone.</w:t>
      </w:r>
    </w:p>
    <w:p>
      <w:pPr>
        <w:pStyle w:val="BodyText"/>
      </w:pPr>
      <w:r>
        <w:rPr>
          <w:b/>
          <w:bCs/>
        </w:rPr>
        <w:t xml:space="preserve">Babel as comprehensive divine judgment</w:t>
      </w:r>
      <w:r>
        <w:t xml:space="preserve">: Dispensational readings occasionally frame the scattering as purely punitive — God curbing sinful humanity until the nations can be addressed in a future dispensation. This underreads the narrative’s placement and the immediate pivot to the Shemite genealogy. The scattering is simultaneously judgment and preparation. The very mechanism of confusion that disrupts the sinful project becomes the soil from which Abram’s election grows. A Reformed reading insists on this canonical logic: Genesis 11 does not end at verse 9 — it ends at verse 32, and the movement from Babel to Abram is the interpretive key. The dispensational reading must be</w:t>
      </w:r>
      <w:r>
        <w:t xml:space="preserve"> </w:t>
      </w:r>
      <w:r>
        <w:rPr>
          <w:i/>
          <w:iCs/>
        </w:rPr>
        <w:t xml:space="preserve">refuted</w:t>
      </w:r>
      <w:r>
        <w:t xml:space="preserve"> </w:t>
      </w:r>
      <w:r>
        <w:t xml:space="preserve">at this point: treating Genesis 11 as only judgment severs it from its narrative function as the dark foil against which the light of sovereign grace in Genesis 12 breaks.</w:t>
      </w:r>
    </w:p>
    <w:p>
      <w:pPr>
        <w:pStyle w:val="BodyText"/>
      </w:pPr>
      <w:r>
        <w:rPr>
          <w:b/>
          <w:bCs/>
        </w:rPr>
        <w:t xml:space="preserve">The genealogy as mere transition</w:t>
      </w:r>
      <w:r>
        <w:t xml:space="preserve">: Some homiletical traditions treat vv. 10–32 as background material — a genealogical bridge to skip past toward Abraham’s call in chapter 12. This is an error. The genealogy performs essential theological work: it traces the covenant line through Shem (fulfilling Noah’s blessing in Gen. 9:26), it signals that God’s purposes are not derailed by Babel, and it introduces the diminishing lifespans that mark post-flood human creatureliness. Most importantly, the detail that Sarai</w:t>
      </w:r>
      <w:r>
        <w:t xml:space="preserve"> </w:t>
      </w:r>
      <w:r>
        <w:t xml:space="preserve">“was barren; she had no child”</w:t>
      </w:r>
      <w:r>
        <w:t xml:space="preserve"> </w:t>
      </w:r>
      <w:r>
        <w:t xml:space="preserve">(v. 30) is not incidental — it is theologically loaded. The entire subsequent narrative of Abraham turns on a barren womb and a God who gives life where there is none. Genesis 11:30 is where the gospel substructure of the Abraham story begins. Any exposition that glosses the genealogy loses this.</w:t>
      </w:r>
    </w:p>
    <w:p>
      <w:pPr>
        <w:pStyle w:val="BodyText"/>
      </w:pPr>
      <w:r>
        <w:rPr>
          <w:b/>
          <w:bCs/>
        </w:rPr>
        <w:t xml:space="preserve">Reformed verdict</w:t>
      </w:r>
      <w:r>
        <w:t xml:space="preserve">: Genesis 11 is a unified text moving from human pride’s self-organizing project to divine scattering to sovereign election through an unlikely and barren line. The passage’s claim is not merely</w:t>
      </w:r>
      <w:r>
        <w:t xml:space="preserve"> </w:t>
      </w:r>
      <w:r>
        <w:t xml:space="preserve">“pride leads to judgment”</w:t>
      </w:r>
      <w:r>
        <w:t xml:space="preserve"> </w:t>
      </w:r>
      <w:r>
        <w:t xml:space="preserve">but</w:t>
      </w:r>
      <w:r>
        <w:t xml:space="preserve"> </w:t>
      </w:r>
      <w:r>
        <w:t xml:space="preserve">“God’s redemptive initiative operates precisely where human initiative has been exhausted or shattered.”</w:t>
      </w:r>
      <w:r>
        <w:t xml:space="preserve"> </w:t>
      </w:r>
      <w:r>
        <w:t xml:space="preserve">This reading best accounts for the whole text, its placement in the canon, and its function as the narrative hinge toward Genesis 12.</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1:28</w:t>
      </w:r>
      <w:r>
        <w:t xml:space="preserve"> </w:t>
      </w:r>
      <w:r>
        <w:t xml:space="preserve">— The creation mandate to</w:t>
      </w:r>
      <w:r>
        <w:t xml:space="preserve"> </w:t>
      </w:r>
      <w:r>
        <w:t xml:space="preserve">“fill the earth and subdue it”</w:t>
      </w:r>
      <w:r>
        <w:t xml:space="preserve"> </w:t>
      </w:r>
      <w:r>
        <w:t xml:space="preserve">is the positive background against which Babel’s</w:t>
      </w:r>
      <w:r>
        <w:t xml:space="preserve"> </w:t>
      </w:r>
      <w:r>
        <w:t xml:space="preserve">“lest we be dispersed”</w:t>
      </w:r>
      <w:r>
        <w:t xml:space="preserve"> </w:t>
      </w:r>
      <w:r>
        <w:t xml:space="preserve">is explicitly set. The Babelites are refusing God’s design, not merely building ambitiously.</w:t>
      </w:r>
    </w:p>
    <w:p>
      <w:pPr>
        <w:pStyle w:val="Compact"/>
        <w:numPr>
          <w:ilvl w:val="0"/>
          <w:numId w:val="1001"/>
        </w:numPr>
      </w:pPr>
      <w:r>
        <w:rPr>
          <w:b/>
          <w:bCs/>
        </w:rPr>
        <w:t xml:space="preserve">Genesis 12:1–3</w:t>
      </w:r>
      <w:r>
        <w:t xml:space="preserve"> </w:t>
      </w:r>
      <w:r>
        <w:t xml:space="preserve">— The immediate sequel: God calls Abram and promises to</w:t>
      </w:r>
      <w:r>
        <w:t xml:space="preserve"> </w:t>
      </w:r>
      <w:r>
        <w:t xml:space="preserve">“make your name great”</w:t>
      </w:r>
      <w:r>
        <w:t xml:space="preserve"> </w:t>
      </w:r>
      <w:r>
        <w:t xml:space="preserve">— the very thing Babel attempted to manufacture. The contrast is decisive: the name worth having is given by God, not built by men.</w:t>
      </w:r>
    </w:p>
    <w:p>
      <w:pPr>
        <w:pStyle w:val="Compact"/>
        <w:numPr>
          <w:ilvl w:val="0"/>
          <w:numId w:val="1001"/>
        </w:numPr>
      </w:pPr>
      <w:r>
        <w:rPr>
          <w:b/>
          <w:bCs/>
        </w:rPr>
        <w:t xml:space="preserve">Psalm 2</w:t>
      </w:r>
      <w:r>
        <w:t xml:space="preserve"> </w:t>
      </w:r>
      <w:r>
        <w:t xml:space="preserve">— The nations conspire and plot against the LORD; He who sits in heaven laughs. Babel is the narrative embodiment of what Psalm 2 describes — and the same sovereign response follows.</w:t>
      </w:r>
    </w:p>
    <w:p>
      <w:pPr>
        <w:pStyle w:val="Compact"/>
        <w:numPr>
          <w:ilvl w:val="0"/>
          <w:numId w:val="1001"/>
        </w:numPr>
      </w:pPr>
      <w:r>
        <w:rPr>
          <w:b/>
          <w:bCs/>
        </w:rPr>
        <w:t xml:space="preserve">Acts 2:1–11</w:t>
      </w:r>
      <w:r>
        <w:t xml:space="preserve"> </w:t>
      </w:r>
      <w:r>
        <w:t xml:space="preserve">— Pentecost reverses Babel: divided languages are overcome not by human unity but by the Spirit’s outpouring; people</w:t>
      </w:r>
      <w:r>
        <w:t xml:space="preserve"> </w:t>
      </w:r>
      <w:r>
        <w:t xml:space="preserve">“from every nation under heaven”</w:t>
      </w:r>
      <w:r>
        <w:t xml:space="preserve"> </w:t>
      </w:r>
      <w:r>
        <w:t xml:space="preserve">hear the mighty works of God in their own tongue. The scattering is not the final word — God’s redemptive project gathers what Babel’s pride dispersed.</w:t>
      </w:r>
    </w:p>
    <w:p>
      <w:pPr>
        <w:pStyle w:val="Compact"/>
        <w:numPr>
          <w:ilvl w:val="0"/>
          <w:numId w:val="1001"/>
        </w:numPr>
      </w:pPr>
      <w:r>
        <w:rPr>
          <w:b/>
          <w:bCs/>
        </w:rPr>
        <w:t xml:space="preserve">Revelation 7:9</w:t>
      </w:r>
      <w:r>
        <w:t xml:space="preserve"> </w:t>
      </w:r>
      <w:r>
        <w:t xml:space="preserve">— The end-state:</w:t>
      </w:r>
      <w:r>
        <w:t xml:space="preserve"> </w:t>
      </w:r>
      <w:r>
        <w:t xml:space="preserve">“a great multitude that no one could number, from every nation, from all tribes and peoples and languages”</w:t>
      </w:r>
      <w:r>
        <w:t xml:space="preserve"> </w:t>
      </w:r>
      <w:r>
        <w:t xml:space="preserve">before the throne — the nations that Babel divided are gathered, not by a tower, but by the Lamb. Genesis 11’s scattering finds its ultimate resolution here.</w:t>
      </w:r>
    </w:p>
    <w:p>
      <w:r>
        <w:pict>
          <v:rect style="width:0;height:1.5pt" o:hralign="center" o:hrstd="t" o:hr="t"/>
        </w:pict>
      </w:r>
    </w:p>
    <w:p>
      <w:pPr>
        <w:pStyle w:val="FirstParagraph"/>
      </w:pPr>
      <w:r>
        <w:rPr>
          <w:b/>
          <w:bCs/>
        </w:rPr>
        <w:t xml:space="preserve">Aim:</w:t>
      </w:r>
      <w:r>
        <w:t xml:space="preserve"> </w:t>
      </w:r>
      <w:r>
        <w:t xml:space="preserve">To expose the deep structure of human self-glorification, demonstrate its inevitable futility against God’s sovereignty, and show that the only name worth having is the one God gives through sovereign grace — a grace already visible in the choice of a barren woman’s husband as the father of the redeemed.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whole earth had one language and the same words</w:t>
            </w:r>
          </w:p>
        </w:tc>
        <w:tc>
          <w:tcPr/>
          <w:p>
            <w:pPr>
              <w:pStyle w:val="Compact"/>
            </w:pPr>
            <w:r>
              <w:t xml:space="preserve">Unity of language is the precondition for what follows — neither good nor bad yet</w:t>
            </w:r>
          </w:p>
        </w:tc>
      </w:tr>
      <w:tr>
        <w:tc>
          <w:tcPr/>
          <w:p>
            <w:pPr>
              <w:pStyle w:val="Compact"/>
            </w:pPr>
            <w:r>
              <w:t xml:space="preserve">2</w:t>
            </w:r>
          </w:p>
        </w:tc>
        <w:tc>
          <w:tcPr/>
          <w:p>
            <w:pPr>
              <w:pStyle w:val="Compact"/>
            </w:pPr>
            <w:r>
              <w:t xml:space="preserve">Migration to the plain of Shinar</w:t>
            </w:r>
          </w:p>
        </w:tc>
        <w:tc>
          <w:tcPr/>
          <w:p>
            <w:pPr>
              <w:pStyle w:val="Compact"/>
            </w:pPr>
            <w:r>
              <w:t xml:space="preserve">Shinar = Babylon (cf. Dan. 1:2); movement away from the mountains, descending</w:t>
            </w:r>
          </w:p>
        </w:tc>
      </w:tr>
      <w:tr>
        <w:tc>
          <w:tcPr/>
          <w:p>
            <w:pPr>
              <w:pStyle w:val="Compact"/>
            </w:pPr>
            <w:r>
              <w:t xml:space="preserve">3</w:t>
            </w:r>
          </w:p>
        </w:tc>
        <w:tc>
          <w:tcPr/>
          <w:p>
            <w:pPr>
              <w:pStyle w:val="Compact"/>
            </w:pPr>
            <w:r>
              <w:t xml:space="preserve">“Come, let us make bricks”</w:t>
            </w:r>
            <w:r>
              <w:t xml:space="preserve"> </w:t>
            </w:r>
            <w:r>
              <w:t xml:space="preserve">— human initiative, human material</w:t>
            </w:r>
          </w:p>
        </w:tc>
        <w:tc>
          <w:tcPr/>
          <w:p>
            <w:pPr>
              <w:pStyle w:val="Compact"/>
            </w:pPr>
            <w:r>
              <w:t xml:space="preserve">The collaborative</w:t>
            </w:r>
            <w:r>
              <w:t xml:space="preserve"> </w:t>
            </w:r>
            <w:r>
              <w:t xml:space="preserve">“let us”</w:t>
            </w:r>
            <w:r>
              <w:t xml:space="preserve"> </w:t>
            </w:r>
            <w:r>
              <w:t xml:space="preserve">echoes the divine</w:t>
            </w:r>
            <w:r>
              <w:t xml:space="preserve"> </w:t>
            </w:r>
            <w:r>
              <w:t xml:space="preserve">“let us”</w:t>
            </w:r>
            <w:r>
              <w:t xml:space="preserve"> </w:t>
            </w:r>
            <w:r>
              <w:t xml:space="preserve">of Gen. 1:26 — deliberate irony</w:t>
            </w:r>
          </w:p>
        </w:tc>
      </w:tr>
      <w:tr>
        <w:tc>
          <w:tcPr/>
          <w:p>
            <w:pPr>
              <w:pStyle w:val="Compact"/>
            </w:pPr>
            <w:r>
              <w:t xml:space="preserve">4</w:t>
            </w:r>
          </w:p>
        </w:tc>
        <w:tc>
          <w:tcPr/>
          <w:p>
            <w:pPr>
              <w:pStyle w:val="Compact"/>
            </w:pPr>
            <w:r>
              <w:t xml:space="preserve">“Let us build a city and a tower… let us make a name for ourselves, lest we be dispersed”</w:t>
            </w:r>
          </w:p>
        </w:tc>
        <w:tc>
          <w:tcPr/>
          <w:p>
            <w:pPr>
              <w:pStyle w:val="Compact"/>
            </w:pPr>
            <w:r>
              <w:t xml:space="preserve">Three motivations: permanence (city), transcendence (tower to heavens), identity (name).</w:t>
            </w:r>
            <w:r>
              <w:t xml:space="preserve"> </w:t>
            </w:r>
            <w:r>
              <w:t xml:space="preserve">“Lest we be scattered”</w:t>
            </w:r>
            <w:r>
              <w:t xml:space="preserve"> </w:t>
            </w:r>
            <w:r>
              <w:t xml:space="preserve">= direct refusal of Gen. 1:28</w:t>
            </w:r>
          </w:p>
        </w:tc>
      </w:tr>
      <w:tr>
        <w:tc>
          <w:tcPr/>
          <w:p>
            <w:pPr>
              <w:pStyle w:val="Compact"/>
            </w:pPr>
            <w:r>
              <w:t xml:space="preserve">5</w:t>
            </w:r>
          </w:p>
        </w:tc>
        <w:tc>
          <w:tcPr/>
          <w:p>
            <w:pPr>
              <w:pStyle w:val="Compact"/>
            </w:pPr>
            <w:r>
              <w:t xml:space="preserve">“The LORD came down to see the city and the tower”</w:t>
            </w:r>
          </w:p>
        </w:tc>
        <w:tc>
          <w:tcPr/>
          <w:p>
            <w:pPr>
              <w:pStyle w:val="Compact"/>
            </w:pPr>
            <w:r>
              <w:t xml:space="preserve">Irony: the tower meant to reach heaven is so small God must come down to see it</w:t>
            </w:r>
          </w:p>
        </w:tc>
      </w:tr>
      <w:tr>
        <w:tc>
          <w:tcPr/>
          <w:p>
            <w:pPr>
              <w:pStyle w:val="Compact"/>
            </w:pPr>
            <w:r>
              <w:t xml:space="preserve">6</w:t>
            </w:r>
          </w:p>
        </w:tc>
        <w:tc>
          <w:tcPr/>
          <w:p>
            <w:pPr>
              <w:pStyle w:val="Compact"/>
            </w:pPr>
            <w:r>
              <w:t xml:space="preserve">“Behold, they are one people with one language… nothing they propose to do will be impossible for them”</w:t>
            </w:r>
          </w:p>
        </w:tc>
        <w:tc>
          <w:tcPr/>
          <w:p>
            <w:pPr>
              <w:pStyle w:val="Compact"/>
            </w:pPr>
            <w:r>
              <w:t xml:space="preserve">Not praise — diagnosis of danger. Unity of human purpose apart from God is unchecked sin</w:t>
            </w:r>
          </w:p>
        </w:tc>
      </w:tr>
      <w:tr>
        <w:tc>
          <w:tcPr/>
          <w:p>
            <w:pPr>
              <w:pStyle w:val="Compact"/>
            </w:pPr>
            <w:r>
              <w:t xml:space="preserve">7</w:t>
            </w:r>
          </w:p>
        </w:tc>
        <w:tc>
          <w:tcPr/>
          <w:p>
            <w:pPr>
              <w:pStyle w:val="Compact"/>
            </w:pPr>
            <w:r>
              <w:t xml:space="preserve">“Come, let us go down and there confuse their language”</w:t>
            </w:r>
          </w:p>
        </w:tc>
        <w:tc>
          <w:tcPr/>
          <w:p>
            <w:pPr>
              <w:pStyle w:val="Compact"/>
            </w:pPr>
            <w:r>
              <w:t xml:space="preserve">Divine</w:t>
            </w:r>
            <w:r>
              <w:t xml:space="preserve"> </w:t>
            </w:r>
            <w:r>
              <w:t xml:space="preserve">“let us”</w:t>
            </w:r>
            <w:r>
              <w:t xml:space="preserve"> </w:t>
            </w:r>
            <w:r>
              <w:t xml:space="preserve">answers human</w:t>
            </w:r>
            <w:r>
              <w:t xml:space="preserve"> </w:t>
            </w:r>
            <w:r>
              <w:t xml:space="preserve">“let us”</w:t>
            </w:r>
            <w:r>
              <w:t xml:space="preserve"> </w:t>
            </w:r>
            <w:r>
              <w:t xml:space="preserve">— sovereign response mirrors their collaborative conspiracy</w:t>
            </w:r>
          </w:p>
        </w:tc>
      </w:tr>
      <w:tr>
        <w:tc>
          <w:tcPr/>
          <w:p>
            <w:pPr>
              <w:pStyle w:val="Compact"/>
            </w:pPr>
            <w:r>
              <w:t xml:space="preserve">8</w:t>
            </w:r>
          </w:p>
        </w:tc>
        <w:tc>
          <w:tcPr/>
          <w:p>
            <w:pPr>
              <w:pStyle w:val="Compact"/>
            </w:pPr>
            <w:r>
              <w:t xml:space="preserve">The LORD dispersed them; they left off building the city</w:t>
            </w:r>
          </w:p>
        </w:tc>
        <w:tc>
          <w:tcPr/>
          <w:p>
            <w:pPr>
              <w:pStyle w:val="Compact"/>
            </w:pPr>
            <w:r>
              <w:t xml:space="preserve">Judgment executes exactly what they feared. What they resisted becomes what God ordains</w:t>
            </w:r>
          </w:p>
        </w:tc>
      </w:tr>
      <w:tr>
        <w:tc>
          <w:tcPr/>
          <w:p>
            <w:pPr>
              <w:pStyle w:val="Compact"/>
            </w:pPr>
            <w:r>
              <w:t xml:space="preserve">9</w:t>
            </w:r>
          </w:p>
        </w:tc>
        <w:tc>
          <w:tcPr/>
          <w:p>
            <w:pPr>
              <w:pStyle w:val="Compact"/>
            </w:pPr>
            <w:r>
              <w:t xml:space="preserve">Named Babel (</w:t>
            </w:r>
            <w:r>
              <w:t xml:space="preserve">“confusion”</w:t>
            </w:r>
            <w:r>
              <w:t xml:space="preserve">); the LORD confused the language of all the earth</w:t>
            </w:r>
          </w:p>
        </w:tc>
        <w:tc>
          <w:tcPr/>
          <w:p>
            <w:pPr>
              <w:pStyle w:val="Compact"/>
            </w:pPr>
            <w:r>
              <w:t xml:space="preserve">Etiology of Babel.</w:t>
            </w:r>
            <w:r>
              <w:t xml:space="preserve"> </w:t>
            </w:r>
            <w:r>
              <w:t xml:space="preserve">“Babel”</w:t>
            </w:r>
            <w:r>
              <w:t xml:space="preserve"> </w:t>
            </w:r>
            <w:r>
              <w:t xml:space="preserve">sounds like balal (confuse) — wordplay. Name they sought to make for themselves becomes a name of confusion</w:t>
            </w:r>
          </w:p>
        </w:tc>
      </w:tr>
      <w:tr>
        <w:tc>
          <w:tcPr/>
          <w:p>
            <w:pPr>
              <w:pStyle w:val="Compact"/>
            </w:pPr>
            <w:r>
              <w:t xml:space="preserve">10–11</w:t>
            </w:r>
          </w:p>
        </w:tc>
        <w:tc>
          <w:tcPr/>
          <w:p>
            <w:pPr>
              <w:pStyle w:val="Compact"/>
            </w:pPr>
            <w:r>
              <w:t xml:space="preserve">Shem’s line begins — Shem to Arpachshad; lifespans recorded</w:t>
            </w:r>
          </w:p>
        </w:tc>
        <w:tc>
          <w:tcPr/>
          <w:p>
            <w:pPr>
              <w:pStyle w:val="Compact"/>
            </w:pPr>
            <w:r>
              <w:t xml:space="preserve">Post-flood genealogy; lifespans notably shorter than pre-flood patriarchs</w:t>
            </w:r>
          </w:p>
        </w:tc>
      </w:tr>
      <w:tr>
        <w:tc>
          <w:tcPr/>
          <w:p>
            <w:pPr>
              <w:pStyle w:val="Compact"/>
            </w:pPr>
            <w:r>
              <w:t xml:space="preserve">12–25</w:t>
            </w:r>
          </w:p>
        </w:tc>
        <w:tc>
          <w:tcPr/>
          <w:p>
            <w:pPr>
              <w:pStyle w:val="Compact"/>
            </w:pPr>
            <w:r>
              <w:t xml:space="preserve">Arpachshad to Nahor — ten generations from Shem to Terah</w:t>
            </w:r>
          </w:p>
        </w:tc>
        <w:tc>
          <w:tcPr/>
          <w:p>
            <w:pPr>
              <w:pStyle w:val="Compact"/>
            </w:pPr>
            <w:r>
              <w:t xml:space="preserve">Structured genealogy tracing covenant line; each generation named with lifespan</w:t>
            </w:r>
          </w:p>
        </w:tc>
      </w:tr>
      <w:tr>
        <w:tc>
          <w:tcPr/>
          <w:p>
            <w:pPr>
              <w:pStyle w:val="Compact"/>
            </w:pPr>
            <w:r>
              <w:t xml:space="preserve">26</w:t>
            </w:r>
          </w:p>
        </w:tc>
        <w:tc>
          <w:tcPr/>
          <w:p>
            <w:pPr>
              <w:pStyle w:val="Compact"/>
            </w:pPr>
            <w:r>
              <w:t xml:space="preserve">Terah fathered Abram, Nahor, and Haran</w:t>
            </w:r>
          </w:p>
        </w:tc>
        <w:tc>
          <w:tcPr/>
          <w:p>
            <w:pPr>
              <w:pStyle w:val="Compact"/>
            </w:pPr>
            <w:r>
              <w:t xml:space="preserve">Introduction of Abram — the line narrows to its destination</w:t>
            </w:r>
          </w:p>
        </w:tc>
      </w:tr>
      <w:tr>
        <w:tc>
          <w:tcPr/>
          <w:p>
            <w:pPr>
              <w:pStyle w:val="Compact"/>
            </w:pPr>
            <w:r>
              <w:t xml:space="preserve">27</w:t>
            </w:r>
          </w:p>
        </w:tc>
        <w:tc>
          <w:tcPr/>
          <w:p>
            <w:pPr>
              <w:pStyle w:val="Compact"/>
            </w:pPr>
            <w:r>
              <w:t xml:space="preserve">Terah’s generations: Haran died before Terah in Ur of the Chaldeans</w:t>
            </w:r>
          </w:p>
        </w:tc>
        <w:tc>
          <w:tcPr/>
          <w:p>
            <w:pPr>
              <w:pStyle w:val="Compact"/>
            </w:pPr>
            <w:r>
              <w:t xml:space="preserve">Unexpected death introduced — mortality in the covenant family before the promise arrives</w:t>
            </w:r>
          </w:p>
        </w:tc>
      </w:tr>
      <w:tr>
        <w:tc>
          <w:tcPr/>
          <w:p>
            <w:pPr>
              <w:pStyle w:val="Compact"/>
            </w:pPr>
            <w:r>
              <w:t xml:space="preserve">28–29</w:t>
            </w:r>
          </w:p>
        </w:tc>
        <w:tc>
          <w:tcPr/>
          <w:p>
            <w:pPr>
              <w:pStyle w:val="Compact"/>
            </w:pPr>
            <w:r>
              <w:t xml:space="preserve">Abram married Sarai; Nahor married Milcah; Lot is introduced</w:t>
            </w:r>
          </w:p>
        </w:tc>
        <w:tc>
          <w:tcPr/>
          <w:p>
            <w:pPr>
              <w:pStyle w:val="Compact"/>
            </w:pPr>
            <w:r>
              <w:t xml:space="preserve">Family established; Sarai named</w:t>
            </w:r>
          </w:p>
        </w:tc>
      </w:tr>
      <w:tr>
        <w:tc>
          <w:tcPr/>
          <w:p>
            <w:pPr>
              <w:pStyle w:val="Compact"/>
            </w:pPr>
            <w:r>
              <w:t xml:space="preserve">30</w:t>
            </w:r>
          </w:p>
        </w:tc>
        <w:tc>
          <w:tcPr/>
          <w:p>
            <w:pPr>
              <w:pStyle w:val="Compact"/>
            </w:pPr>
            <w:r>
              <w:t xml:space="preserve">“Sarai was barren; she had no child”</w:t>
            </w:r>
          </w:p>
        </w:tc>
        <w:tc>
          <w:tcPr/>
          <w:p>
            <w:pPr>
              <w:pStyle w:val="Compact"/>
            </w:pPr>
            <w:r>
              <w:t xml:space="preserve">The pivotal detail. The entire Abramaic narrative turns here — election through impossibility</w:t>
            </w:r>
          </w:p>
        </w:tc>
      </w:tr>
      <w:tr>
        <w:tc>
          <w:tcPr/>
          <w:p>
            <w:pPr>
              <w:pStyle w:val="Compact"/>
            </w:pPr>
            <w:r>
              <w:t xml:space="preserve">31</w:t>
            </w:r>
          </w:p>
        </w:tc>
        <w:tc>
          <w:tcPr/>
          <w:p>
            <w:pPr>
              <w:pStyle w:val="Compact"/>
            </w:pPr>
            <w:r>
              <w:t xml:space="preserve">Terah took the family from Ur toward Canaan; they settled in Haran</w:t>
            </w:r>
          </w:p>
        </w:tc>
        <w:tc>
          <w:tcPr/>
          <w:p>
            <w:pPr>
              <w:pStyle w:val="Compact"/>
            </w:pPr>
            <w:r>
              <w:t xml:space="preserve">Journey toward Canaan initiated but not completed; stalled at Haran</w:t>
            </w:r>
          </w:p>
        </w:tc>
      </w:tr>
      <w:tr>
        <w:tc>
          <w:tcPr/>
          <w:p>
            <w:pPr>
              <w:pStyle w:val="Compact"/>
            </w:pPr>
            <w:r>
              <w:t xml:space="preserve">32</w:t>
            </w:r>
          </w:p>
        </w:tc>
        <w:tc>
          <w:tcPr/>
          <w:p>
            <w:pPr>
              <w:pStyle w:val="Compact"/>
            </w:pPr>
            <w:r>
              <w:t xml:space="preserve">Terah died in Haran at 205 years</w:t>
            </w:r>
          </w:p>
        </w:tc>
        <w:tc>
          <w:tcPr/>
          <w:p>
            <w:pPr>
              <w:pStyle w:val="Compact"/>
            </w:pPr>
            <w:r>
              <w:t xml:space="preserve">The generation that stopped short dies short. Abram will need a new call to complete the journey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Human Project: Unity, Ambition, and the Refusal to Scatter</w:t>
            </w:r>
          </w:p>
        </w:tc>
      </w:tr>
      <w:tr>
        <w:tc>
          <w:tcPr/>
          <w:p>
            <w:pPr>
              <w:pStyle w:val="Compact"/>
            </w:pPr>
            <w:r>
              <w:t xml:space="preserve">2</w:t>
            </w:r>
          </w:p>
        </w:tc>
        <w:tc>
          <w:tcPr/>
          <w:p>
            <w:pPr>
              <w:pStyle w:val="Compact"/>
            </w:pPr>
            <w:r>
              <w:t xml:space="preserve">5–9</w:t>
            </w:r>
          </w:p>
        </w:tc>
        <w:tc>
          <w:tcPr/>
          <w:p>
            <w:pPr>
              <w:pStyle w:val="Compact"/>
            </w:pPr>
            <w:r>
              <w:t xml:space="preserve">The Divine Response: Descent, Diagnosis, and Dispersion</w:t>
            </w:r>
          </w:p>
        </w:tc>
      </w:tr>
      <w:tr>
        <w:tc>
          <w:tcPr/>
          <w:p>
            <w:pPr>
              <w:pStyle w:val="Compact"/>
            </w:pPr>
            <w:r>
              <w:t xml:space="preserve">3</w:t>
            </w:r>
          </w:p>
        </w:tc>
        <w:tc>
          <w:tcPr/>
          <w:p>
            <w:pPr>
              <w:pStyle w:val="Compact"/>
            </w:pPr>
            <w:r>
              <w:t xml:space="preserve">10–25</w:t>
            </w:r>
          </w:p>
        </w:tc>
        <w:tc>
          <w:tcPr/>
          <w:p>
            <w:pPr>
              <w:pStyle w:val="Compact"/>
            </w:pPr>
            <w:r>
              <w:t xml:space="preserve">The Covenant Thread: Shem’s Line Traced Through the Scattered Nations</w:t>
            </w:r>
          </w:p>
        </w:tc>
      </w:tr>
      <w:tr>
        <w:tc>
          <w:tcPr/>
          <w:p>
            <w:pPr>
              <w:pStyle w:val="Compact"/>
            </w:pPr>
            <w:r>
              <w:t xml:space="preserve">4</w:t>
            </w:r>
          </w:p>
        </w:tc>
        <w:tc>
          <w:tcPr/>
          <w:p>
            <w:pPr>
              <w:pStyle w:val="Compact"/>
            </w:pPr>
            <w:r>
              <w:t xml:space="preserve">26–32</w:t>
            </w:r>
          </w:p>
        </w:tc>
        <w:tc>
          <w:tcPr/>
          <w:p>
            <w:pPr>
              <w:pStyle w:val="Compact"/>
            </w:pPr>
            <w:r>
              <w:t xml:space="preserve">The Chosen Man: Abram, Sarai’s Barrenness, and the Stalled Journey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Human pride builds toward heaven; God scatters, then sovereignly chooses Abram.</w:t>
      </w:r>
    </w:p>
    <w:p>
      <w:pPr>
        <w:pStyle w:val="BodyText"/>
      </w:pPr>
      <w:r>
        <w:rPr>
          <w:b/>
          <w:bCs/>
        </w:rPr>
        <w:t xml:space="preserve">Primary Claim:</w:t>
      </w:r>
      <w:r>
        <w:t xml:space="preserve"> </w:t>
      </w:r>
      <w:r>
        <w:t xml:space="preserve">God dismantles humanity’s self-glorifying project not merely as judgment but as the decisive turn toward His own redemptive initiative — demonstrating that the name worth having is the one He gives, not the one we build.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w:t>
      </w:r>
      <w:r>
        <w:rPr>
          <w:b/>
          <w:bCs/>
        </w:rPr>
        <w:t xml:space="preserve"> </w:t>
      </w:r>
      <w:r>
        <w:rPr>
          <w:b/>
          <w:bCs/>
        </w:rPr>
        <w:t xml:space="preserve">“making a name”</w:t>
      </w:r>
      <w:r>
        <w:rPr>
          <w:b/>
          <w:bCs/>
        </w:rPr>
        <w:t xml:space="preserve"> </w:t>
      </w:r>
      <w:r>
        <w:rPr>
          <w:b/>
          <w:bCs/>
        </w:rPr>
        <w:t xml:space="preserve">actually means.</w:t>
      </w:r>
      <w:r>
        <w:t xml:space="preserve"> </w:t>
      </w:r>
      <w:r>
        <w:t xml:space="preserve">The Babelites’ project was not unusual — it is the default human program. Every person pursues significance through building: career, reputation, family legacy, social standing, institutional achievement. Genesis 11 does not condemn ambition; it exposes the particular poison of ambition that refuses God as its source and end. The congregation needs to hear that the problem was not that they wanted to be known — it is that they wanted to be known</w:t>
      </w:r>
      <w:r>
        <w:t xml:space="preserve"> </w:t>
      </w:r>
      <w:r>
        <w:rPr>
          <w:i/>
          <w:iCs/>
        </w:rPr>
        <w:t xml:space="preserve">without God</w:t>
      </w:r>
      <w:r>
        <w:t xml:space="preserve">,</w:t>
      </w:r>
      <w:r>
        <w:t xml:space="preserve"> </w:t>
      </w:r>
      <w:r>
        <w:rPr>
          <w:i/>
          <w:iCs/>
        </w:rPr>
        <w:t xml:space="preserve">against God’s design</w:t>
      </w:r>
      <w:r>
        <w:t xml:space="preserve">, and</w:t>
      </w:r>
      <w:r>
        <w:t xml:space="preserve"> </w:t>
      </w:r>
      <w:r>
        <w:rPr>
          <w:i/>
          <w:iCs/>
        </w:rPr>
        <w:t xml:space="preserve">in place of God’s purposes</w:t>
      </w:r>
      <w:r>
        <w:t xml:space="preserve">. Examine where you are building your tower. The question is not whether you want to matter — of course you do, you were made to — but whose name you are trying to secure and by whose power.</w:t>
      </w:r>
    </w:p>
    <w:p>
      <w:pPr>
        <w:pStyle w:val="BodyText"/>
      </w:pPr>
      <w:r>
        <w:rPr>
          <w:b/>
          <w:bCs/>
        </w:rPr>
        <w:t xml:space="preserve">2. [Will/Behavior] Stop organizing your life around the fear of being scattered and insignificant.</w:t>
      </w:r>
      <w:r>
        <w:t xml:space="preserve"> </w:t>
      </w:r>
      <w:r>
        <w:t xml:space="preserve">“Lest we be dispersed”</w:t>
      </w:r>
      <w:r>
        <w:t xml:space="preserve"> </w:t>
      </w:r>
      <w:r>
        <w:t xml:space="preserve">is the motive behind more human behavior than we admit. We accumulate, consolidate, network, and control because dispersal — vulnerability, obscurity, loss of standing — feels like death. The Babelites were building against their deepest fear. Identify one concrete area where fear of insignificance or loss of control is driving your decisions — a relationship you are managing too tightly, a professional position you are protecting at moral cost, a ministry platform you are building for yourself — and lay it down. Not as stoic resignation but as an act of trust in the God who gives names, not as tribute to human hustle.</w:t>
      </w:r>
    </w:p>
    <w:p>
      <w:pPr>
        <w:pStyle w:val="BodyText"/>
      </w:pPr>
      <w:r>
        <w:rPr>
          <w:b/>
          <w:bCs/>
        </w:rPr>
        <w:t xml:space="preserve">3. [Affections/Worship] Feel the irony that the God of the universe had to stoop to see their great tower.</w:t>
      </w:r>
      <w:r>
        <w:t xml:space="preserve"> </w:t>
      </w:r>
      <w:r>
        <w:t xml:space="preserve">The text is gently devastating:</w:t>
      </w:r>
      <w:r>
        <w:t xml:space="preserve"> </w:t>
      </w:r>
      <w:r>
        <w:t xml:space="preserve">“The LORD came</w:t>
      </w:r>
      <w:r>
        <w:t xml:space="preserve"> </w:t>
      </w:r>
      <w:r>
        <w:rPr>
          <w:i/>
          <w:iCs/>
        </w:rPr>
        <w:t xml:space="preserve">down</w:t>
      </w:r>
      <w:r>
        <w:t xml:space="preserve"> </w:t>
      </w:r>
      <w:r>
        <w:t xml:space="preserve">to see the city and the tower”</w:t>
      </w:r>
      <w:r>
        <w:t xml:space="preserve"> </w:t>
      </w:r>
      <w:r>
        <w:t xml:space="preserve">(v. 5). Whatever they built, it was beneath His notice at natural scale. The application is not contempt for human effort but a recalibration of the soul’s sense of proportion. If you have been impressed by what you or others have built — frightened by powerful institutions, awed by cultural momentum, intimidated by forces that feel too large to resist — let this image do its work. The One before whom you will stand was unimpressed with the greatest human organizational effort of the ancient world. Worship recalibrates the soul’s sense of scale. Return to it regularly.</w:t>
      </w:r>
    </w:p>
    <w:p>
      <w:pPr>
        <w:pStyle w:val="BodyText"/>
      </w:pPr>
      <w:r>
        <w:rPr>
          <w:b/>
          <w:bCs/>
        </w:rPr>
        <w:t xml:space="preserve">4. [Mind/Belief] Understand that Sarai’s barrenness in verse 30 is where the gospel story begins.</w:t>
      </w:r>
      <w:r>
        <w:t xml:space="preserve"> </w:t>
      </w:r>
      <w:r>
        <w:t xml:space="preserve">The genealogy ends on the most apparently disqualifying note possible:</w:t>
      </w:r>
      <w:r>
        <w:t xml:space="preserve"> </w:t>
      </w:r>
      <w:r>
        <w:t xml:space="preserve">“Sarai was barren; she had no child.”</w:t>
      </w:r>
      <w:r>
        <w:t xml:space="preserve"> </w:t>
      </w:r>
      <w:r>
        <w:t xml:space="preserve">The man God is about to choose as the father of His covenant people is married to a woman who cannot produce the heir the covenant requires. This is not an obstacle to God’s plan — it</w:t>
      </w:r>
      <w:r>
        <w:t xml:space="preserve"> </w:t>
      </w:r>
      <w:r>
        <w:rPr>
          <w:i/>
          <w:iCs/>
        </w:rPr>
        <w:t xml:space="preserve">is</w:t>
      </w:r>
      <w:r>
        <w:t xml:space="preserve"> </w:t>
      </w:r>
      <w:r>
        <w:t xml:space="preserve">God’s plan. The entire structure of redemptive history is built on God working through human impossibility rather than human capacity. This is not merely a pattern in Genesis; it is the shape of the gospel itself: life from death, justification for the ungodly, resurrection after crucifixion. If you are waiting for conditions to be right before you believe God can use you, you have misread the Bible’s consistent method. He begins with barrenness.</w:t>
      </w:r>
    </w:p>
    <w:p>
      <w:pPr>
        <w:pStyle w:val="BodyText"/>
      </w:pPr>
      <w:r>
        <w:rPr>
          <w:b/>
          <w:bCs/>
        </w:rPr>
        <w:t xml:space="preserve">5. [Affections/Worship] Let the genealogy of Shem move you — because it means God did not give up.</w:t>
      </w:r>
      <w:r>
        <w:t xml:space="preserve"> </w:t>
      </w:r>
      <w:r>
        <w:t xml:space="preserve">After the catastrophe of Babel, after the language-fracturing scattering of humanity, Genesis 11 does not cut to a different story. It slowly, patiently, name by name, traces the line from Shem to Abram. This is not filler. It is the sound of God refusing to abandon His creation project — threading the needle of covenant faithfulness through ten generations of fallen humanity, war, famine, and death, arriving at one man in Ur of the Chaldees. Let this produce gratitude rather than analysis. God’s faithfulness is not spectacular in this passage — it is quiet, generational, and relentless. The same faithfulness that traced a covenant line through Shem’s descendants is the faithfulness that has traced your life to this moment. He does not forget. He does not give up.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11 teaches that human beings are constitutively name-seeking creatures — made for significance, glory, and legacy — but that the fall has redirected this God-given hunger toward self-referential projects that exclude God as the source and goal. The Babel episode is not merely a cautionary tale about pride; it is a diagnosis of the human condition at its organizational and civilizational level: even unity, language, and technological capacity — goods in themselves — become engines of rebellion when directed toward self-glorification rather than God-honoring spread across the earth. The passage further teaches that God’s sovereign response to human rebellion is not merely punitive — it is redemptively purposive. The scattering does not end God’s project; it creates the conditions for His counter-project: the election of one man, one barren couple, one impossible beginning through whom the nations will ultimately be blessed. God is not reactive in this passage; He is architecturally sovereign, using the very instruments of human failure as the scaffolding of His grace.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11 is a foundational text for the Reformed understanding of total depravity in its social and civilizational expression. Sin is not merely individual moral failure; it is the organizing principle of human culture when culture refuses God’s mandate and substitutes human self-glorification. The passage also provides a vivid narrative illustration of the Reformed conviction that God’s electing grace operates independently of human merit or capacity — the pivot from Babel’s failure to Abram’s call is entirely God’s initiative, not Abram’s achievement. The detail of Sarai’s barrenness (v. 30) is the narrative seed of the Reformed insistence on</w:t>
      </w:r>
      <w:r>
        <w:t xml:space="preserve"> </w:t>
      </w:r>
      <w:r>
        <w:rPr>
          <w:i/>
          <w:iCs/>
        </w:rPr>
        <w:t xml:space="preserve">sola gratia</w:t>
      </w:r>
      <w:r>
        <w:t xml:space="preserve">: the covenant line does not continue through natural human possibility but through divine gift given to the humanly impossible. Finally, Genesis 11 illustrates the Reformed understanding of common grace and its limits: unified language and collective human capacity are genuine goods, but without divine ordering they become instruments of sin rather than means of flourishing. The doctrine of the covenant of grace begins not at Sinai but here — in a scattering that God turns into a sending, and a dead end (Haran, barrenness, stalled journey) that He turns into the starting line of redemptive history.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name you are working so hard to build will end in confusion — that is what Babel means, and it is what self-made significance always produces. But there is a name God gives rather than one you construct, a significance He bestows rather than one you engineer, and it begins precisely where all human capacity runs out — in a barren womb in Ur, in a family that stalled at Haran, in a man who had nothing to commend him to heaven except that heaven chose him. Stop building your tower. You are already known by the One whose notice you most need.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passage as</w:t>
      </w:r>
      <w:r>
        <w:rPr>
          <w:b/>
          <w:bCs/>
        </w:rPr>
        <w:t xml:space="preserve"> </w:t>
      </w:r>
      <w:r>
        <w:rPr>
          <w:b/>
          <w:bCs/>
        </w:rPr>
        <w:t xml:space="preserve">“don’t be proud.”</w:t>
      </w:r>
      <w:r>
        <w:t xml:space="preserve"> </w:t>
      </w:r>
      <w:r>
        <w:t xml:space="preserve">The most common mishandling of Babel reduces it to a warning against individual arrogance — a generic</w:t>
      </w:r>
      <w:r>
        <w:t xml:space="preserve"> </w:t>
      </w:r>
      <w:r>
        <w:t xml:space="preserve">“pride goes before a fall”</w:t>
      </w:r>
      <w:r>
        <w:t xml:space="preserve"> </w:t>
      </w:r>
      <w:r>
        <w:t xml:space="preserve">sermon. This misses the passage’s structural and theological weight. The sin at Babel is not individual pride but the organized, collaborative human project of self-sufficient civilization-building that refuses God’s design. The application must be corporate and systemic as well as individual — and must move from diagnosis to the grace of Genesis 12, not merely from sin to warning.</w:t>
      </w:r>
    </w:p>
    <w:p>
      <w:pPr>
        <w:numPr>
          <w:ilvl w:val="0"/>
          <w:numId w:val="1002"/>
        </w:numPr>
      </w:pPr>
      <w:r>
        <w:rPr>
          <w:b/>
          <w:bCs/>
        </w:rPr>
        <w:t xml:space="preserve">Ending the sermon at verse 9 and missing the genealogy’s theological load.</w:t>
      </w:r>
      <w:r>
        <w:t xml:space="preserve"> </w:t>
      </w:r>
      <w:r>
        <w:t xml:space="preserve">Preachers frequently treat the Babel episode (vv. 1–9) as the sermon and the genealogy (vv. 10–32) as transition material. This is a structural error. The genealogy performs irreplaceable theological work: it traces the covenant line, marks the diminishing lifespans, introduces Abram and Sarai, and delivers the pivotal detail of Sarai’s barrenness. A sermon on Genesis 11 that ends at verse 9 has preached judgment without grace. The chapter must end at verse 32 — and the sermon must too.</w:t>
      </w:r>
    </w:p>
    <w:p>
      <w:pPr>
        <w:numPr>
          <w:ilvl w:val="0"/>
          <w:numId w:val="1002"/>
        </w:numPr>
      </w:pPr>
      <w:r>
        <w:rPr>
          <w:b/>
          <w:bCs/>
        </w:rPr>
        <w:t xml:space="preserve">Missing the irony of verse 5 and therefore losing the passage’s tone.</w:t>
      </w:r>
      <w:r>
        <w:t xml:space="preserve"> </w:t>
      </w:r>
      <w:r>
        <w:t xml:space="preserve">The text is not primarily threatening — it is ironic, even gently humorous in its Hebrew register: the tower built to reach heaven requires God to</w:t>
      </w:r>
      <w:r>
        <w:t xml:space="preserve"> </w:t>
      </w:r>
      <w:r>
        <w:t xml:space="preserve">“come down”</w:t>
      </w:r>
      <w:r>
        <w:t xml:space="preserve"> </w:t>
      </w:r>
      <w:r>
        <w:t xml:space="preserve">to see it. Preaching this passage with unrelenting solemnity misses the rhetorical texture. The irony is doing theological work — recalibrating the reader’s sense of scale between human ambition and divine majesty. Exposition should let that irony breathe.</w:t>
      </w:r>
    </w:p>
    <w:p>
      <w:pPr>
        <w:numPr>
          <w:ilvl w:val="0"/>
          <w:numId w:val="1002"/>
        </w:numPr>
      </w:pPr>
      <w:r>
        <w:rPr>
          <w:b/>
          <w:bCs/>
        </w:rPr>
        <w:t xml:space="preserve">Over-reading the divine plural in verse 7 as a direct Trinitarian statement.</w:t>
      </w:r>
      <w:r>
        <w:t xml:space="preserve"> </w:t>
      </w:r>
      <w:r>
        <w:t xml:space="preserve">While canonical theology affirms the Trinity, extracting it directly from the divine</w:t>
      </w:r>
      <w:r>
        <w:t xml:space="preserve"> </w:t>
      </w:r>
      <w:r>
        <w:t xml:space="preserve">“let us”</w:t>
      </w:r>
      <w:r>
        <w:t xml:space="preserve"> </w:t>
      </w:r>
      <w:r>
        <w:t xml:space="preserve">without noting the Ancient Near Eastern divine council background leads to lazy exegesis that conflates what the text’s first readers could have understood with what New Testament revelation later clarifies. Preachers should note the plural, acknowledge its canonical significance, but not let a Trinitarian proof-text exercise crowd out the passage’s actual emphasis — God’s sovereign descent and intervention.</w:t>
      </w:r>
    </w:p>
    <w:p>
      <w:pPr>
        <w:numPr>
          <w:ilvl w:val="0"/>
          <w:numId w:val="1002"/>
        </w:numPr>
      </w:pPr>
      <w:r>
        <w:rPr>
          <w:b/>
          <w:bCs/>
        </w:rPr>
        <w:t xml:space="preserve">Treating Babel as ancient history with no contemporary civilizational application.</w:t>
      </w:r>
      <w:r>
        <w:t xml:space="preserve"> </w:t>
      </w:r>
      <w:r>
        <w:t xml:space="preserve">Genesis 11 is not simply the origin story of different languages — it is the biblical diagnosis of what human civilization does when organized apart from God. The application should name contemporary Babels: the organizational, technological, and cultural projects that promise significance, permanence, and identity apart from God. The congregation lives inside such projects daily. Exposition that keeps Babel safely in the ancient past has defused the text’s claim.</w:t>
      </w:r>
    </w:p>
    <w:p>
      <w:pPr>
        <w:numPr>
          <w:ilvl w:val="0"/>
          <w:numId w:val="1002"/>
        </w:numPr>
      </w:pPr>
      <w:r>
        <w:rPr>
          <w:b/>
          <w:bCs/>
        </w:rPr>
        <w:t xml:space="preserve">Failing to connect Sarai’s barrenness to the gospel’s method.</w:t>
      </w:r>
      <w:r>
        <w:t xml:space="preserve"> </w:t>
      </w:r>
      <w:r>
        <w:t xml:space="preserve">Verse 30 is not a minor biographical note — it is the first signal of how God will operate throughout the entire patriarchal narrative and, by extension, throughout all of redemptive history: through the impossible, the humanly exhausted, the dead end that He turns into a beginning. Failing to preach verse 30 as theologically programmatic leaves the congregation without the most important promise in the chapter: that God’s entry point is precisely where human capacity ends.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2026-07-14T21:01:03Z</dcterms:created>
  <dcterms:modified xsi:type="dcterms:W3CDTF">2026-07-14T21:01:03Z</dcterms:modified>
</cp:coreProperties>
</file>

<file path=docProps/custom.xml><?xml version="1.0" encoding="utf-8"?>
<Properties xmlns="http://schemas.openxmlformats.org/officeDocument/2006/custom-properties" xmlns:vt="http://schemas.openxmlformats.org/officeDocument/2006/docPropsVTypes"/>
</file>